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Grid3-Accent4"/>
        <w:tblW w:w="0" w:type="auto"/>
        <w:tblLook w:val="04A0" w:firstRow="1" w:lastRow="0" w:firstColumn="1" w:lastColumn="0" w:noHBand="0" w:noVBand="1"/>
      </w:tblPr>
      <w:tblGrid>
        <w:gridCol w:w="1915"/>
        <w:gridCol w:w="1915"/>
        <w:gridCol w:w="1915"/>
        <w:gridCol w:w="1915"/>
        <w:gridCol w:w="3158"/>
        <w:gridCol w:w="2970"/>
      </w:tblGrid>
      <w:tr w:rsidR="00B96DE3" w:rsidTr="00232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DDD9C3" w:themeFill="background2" w:themeFillShade="E6"/>
          </w:tcPr>
          <w:p w:rsidR="00B96DE3" w:rsidRPr="00591FE9" w:rsidRDefault="00B96DE3" w:rsidP="00591FE9">
            <w:pPr>
              <w:rPr>
                <w:color w:val="auto"/>
              </w:rPr>
            </w:pPr>
            <w:r w:rsidRPr="00591FE9">
              <w:rPr>
                <w:color w:val="auto"/>
              </w:rPr>
              <w:t>Transaction Type</w:t>
            </w:r>
          </w:p>
        </w:tc>
        <w:tc>
          <w:tcPr>
            <w:tcW w:w="1915" w:type="dxa"/>
            <w:shd w:val="clear" w:color="auto" w:fill="DDD9C3" w:themeFill="background2" w:themeFillShade="E6"/>
          </w:tcPr>
          <w:p w:rsidR="00B96DE3" w:rsidRPr="00591FE9" w:rsidRDefault="009E0689" w:rsidP="00591FE9">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Effective Dates </w:t>
            </w:r>
            <w:r w:rsidR="00B96DE3" w:rsidRPr="00591FE9">
              <w:rPr>
                <w:color w:val="auto"/>
              </w:rPr>
              <w:t>Allowed During Shutdown (Yes/No)</w:t>
            </w:r>
          </w:p>
        </w:tc>
        <w:tc>
          <w:tcPr>
            <w:tcW w:w="1915" w:type="dxa"/>
            <w:shd w:val="clear" w:color="auto" w:fill="DDD9C3" w:themeFill="background2" w:themeFillShade="E6"/>
          </w:tcPr>
          <w:p w:rsidR="00B96DE3" w:rsidRPr="00591FE9" w:rsidRDefault="00B96DE3">
            <w:pP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Last </w:t>
            </w:r>
            <w:r w:rsidRPr="00591FE9">
              <w:rPr>
                <w:color w:val="auto"/>
              </w:rPr>
              <w:t>Effective Date Allowed</w:t>
            </w:r>
            <w:r>
              <w:rPr>
                <w:color w:val="auto"/>
              </w:rPr>
              <w:t xml:space="preserve"> Prior to Shutdown</w:t>
            </w:r>
          </w:p>
        </w:tc>
        <w:tc>
          <w:tcPr>
            <w:tcW w:w="1915" w:type="dxa"/>
            <w:shd w:val="clear" w:color="auto" w:fill="DDD9C3" w:themeFill="background2" w:themeFillShade="E6"/>
          </w:tcPr>
          <w:p w:rsidR="00B96DE3" w:rsidRPr="00591FE9" w:rsidRDefault="00B96DE3" w:rsidP="00591FE9">
            <w:pPr>
              <w:cnfStyle w:val="100000000000" w:firstRow="1" w:lastRow="0" w:firstColumn="0" w:lastColumn="0" w:oddVBand="0" w:evenVBand="0" w:oddHBand="0" w:evenHBand="0" w:firstRowFirstColumn="0" w:firstRowLastColumn="0" w:lastRowFirstColumn="0" w:lastRowLastColumn="0"/>
              <w:rPr>
                <w:color w:val="auto"/>
              </w:rPr>
            </w:pPr>
            <w:r w:rsidRPr="00591FE9">
              <w:rPr>
                <w:color w:val="auto"/>
              </w:rPr>
              <w:t>Effective Date After Go-Live</w:t>
            </w:r>
          </w:p>
        </w:tc>
        <w:tc>
          <w:tcPr>
            <w:tcW w:w="3158" w:type="dxa"/>
            <w:shd w:val="clear" w:color="auto" w:fill="DDD9C3" w:themeFill="background2" w:themeFillShade="E6"/>
          </w:tcPr>
          <w:p w:rsidR="00B96DE3" w:rsidRPr="00591FE9" w:rsidRDefault="00B96DE3">
            <w:pPr>
              <w:cnfStyle w:val="100000000000" w:firstRow="1" w:lastRow="0" w:firstColumn="0" w:lastColumn="0" w:oddVBand="0" w:evenVBand="0" w:oddHBand="0" w:evenHBand="0" w:firstRowFirstColumn="0" w:firstRowLastColumn="0" w:lastRowFirstColumn="0" w:lastRowLastColumn="0"/>
              <w:rPr>
                <w:color w:val="auto"/>
              </w:rPr>
            </w:pPr>
            <w:r w:rsidRPr="00591FE9">
              <w:rPr>
                <w:color w:val="auto"/>
              </w:rPr>
              <w:t>Instructions</w:t>
            </w:r>
          </w:p>
        </w:tc>
        <w:tc>
          <w:tcPr>
            <w:tcW w:w="2970" w:type="dxa"/>
            <w:shd w:val="clear" w:color="auto" w:fill="DDD9C3" w:themeFill="background2" w:themeFillShade="E6"/>
          </w:tcPr>
          <w:p w:rsidR="00B96DE3" w:rsidRPr="00591FE9" w:rsidRDefault="00B96DE3">
            <w:pPr>
              <w:cnfStyle w:val="100000000000" w:firstRow="1" w:lastRow="0" w:firstColumn="0" w:lastColumn="0" w:oddVBand="0" w:evenVBand="0" w:oddHBand="0" w:evenHBand="0" w:firstRowFirstColumn="0" w:firstRowLastColumn="0" w:lastRowFirstColumn="0" w:lastRowLastColumn="0"/>
            </w:pPr>
            <w:r w:rsidRPr="00B96DE3">
              <w:rPr>
                <w:color w:val="auto"/>
              </w:rPr>
              <w:t>Process During Shutdown</w:t>
            </w:r>
          </w:p>
        </w:tc>
      </w:tr>
      <w:tr w:rsidR="00B96DE3"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pPr>
              <w:rPr>
                <w:color w:val="auto"/>
              </w:rPr>
            </w:pPr>
            <w:r w:rsidRPr="00444A1C">
              <w:rPr>
                <w:color w:val="auto"/>
              </w:rPr>
              <w:t>New Hires</w:t>
            </w: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r>
              <w:t>No</w:t>
            </w:r>
          </w:p>
        </w:tc>
        <w:tc>
          <w:tcPr>
            <w:tcW w:w="1915" w:type="dxa"/>
            <w:shd w:val="clear" w:color="auto" w:fill="DDD9C3" w:themeFill="background2" w:themeFillShade="E6"/>
          </w:tcPr>
          <w:p w:rsidR="00B96DE3" w:rsidRDefault="00577FA1" w:rsidP="00577FA1">
            <w:pPr>
              <w:cnfStyle w:val="000000100000" w:firstRow="0" w:lastRow="0" w:firstColumn="0" w:lastColumn="0" w:oddVBand="0" w:evenVBand="0" w:oddHBand="1" w:evenHBand="0" w:firstRowFirstColumn="0" w:firstRowLastColumn="0" w:lastRowFirstColumn="0" w:lastRowLastColumn="0"/>
            </w:pPr>
            <w:r>
              <w:t>Oct. 22, 2014</w:t>
            </w:r>
          </w:p>
        </w:tc>
        <w:tc>
          <w:tcPr>
            <w:tcW w:w="1915" w:type="dxa"/>
            <w:shd w:val="clear" w:color="auto" w:fill="C6D9F1" w:themeFill="text2" w:themeFillTint="33"/>
          </w:tcPr>
          <w:p w:rsidR="00B96DE3" w:rsidRDefault="00B96DE3">
            <w:pPr>
              <w:cnfStyle w:val="000000100000" w:firstRow="0" w:lastRow="0" w:firstColumn="0" w:lastColumn="0" w:oddVBand="0" w:evenVBand="0" w:oddHBand="1" w:evenHBand="0" w:firstRowFirstColumn="0" w:firstRowLastColumn="0" w:lastRowFirstColumn="0" w:lastRowLastColumn="0"/>
            </w:pPr>
            <w:r>
              <w:t>Nov. 14, 2014 or later</w:t>
            </w:r>
          </w:p>
        </w:tc>
        <w:tc>
          <w:tcPr>
            <w:tcW w:w="3158"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r>
      <w:tr w:rsidR="00B96DE3" w:rsidTr="009F7A5A">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pPr>
              <w:rPr>
                <w:color w:val="auto"/>
              </w:rPr>
            </w:pPr>
            <w:r w:rsidRPr="00444A1C">
              <w:rPr>
                <w:color w:val="auto"/>
              </w:rPr>
              <w:t>Reinstatements</w:t>
            </w: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r>
              <w:t>No</w:t>
            </w:r>
          </w:p>
        </w:tc>
        <w:tc>
          <w:tcPr>
            <w:tcW w:w="1915" w:type="dxa"/>
            <w:shd w:val="clear" w:color="auto" w:fill="DDD9C3" w:themeFill="background2" w:themeFillShade="E6"/>
          </w:tcPr>
          <w:p w:rsidR="00B96DE3" w:rsidRDefault="00B96DE3" w:rsidP="00577FA1">
            <w:pPr>
              <w:cnfStyle w:val="000000000000" w:firstRow="0" w:lastRow="0" w:firstColumn="0" w:lastColumn="0" w:oddVBand="0" w:evenVBand="0" w:oddHBand="0" w:evenHBand="0" w:firstRowFirstColumn="0" w:firstRowLastColumn="0" w:lastRowFirstColumn="0" w:lastRowLastColumn="0"/>
            </w:pPr>
            <w:r>
              <w:t xml:space="preserve">Oct. </w:t>
            </w:r>
            <w:r w:rsidR="00577FA1">
              <w:t>22</w:t>
            </w:r>
            <w:r>
              <w:t>, 2014</w:t>
            </w:r>
          </w:p>
        </w:tc>
        <w:tc>
          <w:tcPr>
            <w:tcW w:w="1915" w:type="dxa"/>
            <w:shd w:val="clear" w:color="auto" w:fill="C6D9F1" w:themeFill="text2" w:themeFillTint="33"/>
          </w:tcPr>
          <w:p w:rsidR="00B96DE3" w:rsidRDefault="00B96DE3">
            <w:pPr>
              <w:cnfStyle w:val="000000000000" w:firstRow="0" w:lastRow="0" w:firstColumn="0" w:lastColumn="0" w:oddVBand="0" w:evenVBand="0" w:oddHBand="0" w:evenHBand="0" w:firstRowFirstColumn="0" w:firstRowLastColumn="0" w:lastRowFirstColumn="0" w:lastRowLastColumn="0"/>
            </w:pPr>
            <w:r>
              <w:t>Nov. 14, 2014 or later</w:t>
            </w:r>
          </w:p>
        </w:tc>
        <w:tc>
          <w:tcPr>
            <w:tcW w:w="3158"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r>
      <w:tr w:rsidR="00B96DE3"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rsidP="00591FE9">
            <w:pPr>
              <w:rPr>
                <w:color w:val="auto"/>
              </w:rPr>
            </w:pPr>
            <w:r w:rsidRPr="00444A1C">
              <w:rPr>
                <w:color w:val="auto"/>
              </w:rPr>
              <w:t>New Contractual Hires</w:t>
            </w:r>
            <w:r w:rsidR="00341FD1" w:rsidRPr="00444A1C">
              <w:rPr>
                <w:color w:val="auto"/>
              </w:rPr>
              <w:t xml:space="preserve"> (311T)</w:t>
            </w: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r>
              <w:t>No</w:t>
            </w:r>
          </w:p>
        </w:tc>
        <w:tc>
          <w:tcPr>
            <w:tcW w:w="1915" w:type="dxa"/>
            <w:shd w:val="clear" w:color="auto" w:fill="DDD9C3" w:themeFill="background2" w:themeFillShade="E6"/>
          </w:tcPr>
          <w:p w:rsidR="00B96DE3" w:rsidRDefault="00B96DE3" w:rsidP="00577FA1">
            <w:pPr>
              <w:cnfStyle w:val="000000100000" w:firstRow="0" w:lastRow="0" w:firstColumn="0" w:lastColumn="0" w:oddVBand="0" w:evenVBand="0" w:oddHBand="1" w:evenHBand="0" w:firstRowFirstColumn="0" w:firstRowLastColumn="0" w:lastRowFirstColumn="0" w:lastRowLastColumn="0"/>
            </w:pPr>
            <w:r>
              <w:t xml:space="preserve">Oct. </w:t>
            </w:r>
            <w:r w:rsidR="00577FA1">
              <w:t>22</w:t>
            </w:r>
            <w:r>
              <w:t>, 2014</w:t>
            </w:r>
          </w:p>
        </w:tc>
        <w:tc>
          <w:tcPr>
            <w:tcW w:w="1915" w:type="dxa"/>
            <w:shd w:val="clear" w:color="auto" w:fill="C6D9F1" w:themeFill="text2" w:themeFillTint="33"/>
          </w:tcPr>
          <w:p w:rsidR="00B96DE3" w:rsidRDefault="00B96DE3">
            <w:pPr>
              <w:cnfStyle w:val="000000100000" w:firstRow="0" w:lastRow="0" w:firstColumn="0" w:lastColumn="0" w:oddVBand="0" w:evenVBand="0" w:oddHBand="1" w:evenHBand="0" w:firstRowFirstColumn="0" w:firstRowLastColumn="0" w:lastRowFirstColumn="0" w:lastRowLastColumn="0"/>
            </w:pPr>
            <w:r>
              <w:t>Nov. 14, 2014 or later</w:t>
            </w:r>
          </w:p>
        </w:tc>
        <w:tc>
          <w:tcPr>
            <w:tcW w:w="3158"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r>
      <w:tr w:rsidR="00B96DE3" w:rsidTr="009F7A5A">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pPr>
              <w:rPr>
                <w:color w:val="auto"/>
              </w:rPr>
            </w:pPr>
            <w:r w:rsidRPr="00444A1C">
              <w:rPr>
                <w:color w:val="auto"/>
              </w:rPr>
              <w:t>Contractual Renewals</w:t>
            </w:r>
            <w:r w:rsidR="00341FD1" w:rsidRPr="00444A1C">
              <w:rPr>
                <w:color w:val="auto"/>
              </w:rPr>
              <w:t xml:space="preserve"> (311T)</w:t>
            </w: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r>
              <w:t>No</w:t>
            </w:r>
          </w:p>
        </w:tc>
        <w:tc>
          <w:tcPr>
            <w:tcW w:w="1915" w:type="dxa"/>
            <w:shd w:val="clear" w:color="auto" w:fill="DDD9C3" w:themeFill="background2" w:themeFillShade="E6"/>
          </w:tcPr>
          <w:p w:rsidR="00B96DE3" w:rsidRDefault="00B96DE3" w:rsidP="00577FA1">
            <w:pPr>
              <w:cnfStyle w:val="000000000000" w:firstRow="0" w:lastRow="0" w:firstColumn="0" w:lastColumn="0" w:oddVBand="0" w:evenVBand="0" w:oddHBand="0" w:evenHBand="0" w:firstRowFirstColumn="0" w:firstRowLastColumn="0" w:lastRowFirstColumn="0" w:lastRowLastColumn="0"/>
            </w:pPr>
            <w:r>
              <w:t xml:space="preserve">Oct. </w:t>
            </w:r>
            <w:r w:rsidR="00577FA1">
              <w:t>22</w:t>
            </w:r>
            <w:r>
              <w:t>, 2014</w:t>
            </w:r>
          </w:p>
        </w:tc>
        <w:tc>
          <w:tcPr>
            <w:tcW w:w="1915" w:type="dxa"/>
            <w:shd w:val="clear" w:color="auto" w:fill="C6D9F1" w:themeFill="text2" w:themeFillTint="33"/>
          </w:tcPr>
          <w:p w:rsidR="00B96DE3" w:rsidRDefault="00B96DE3">
            <w:pPr>
              <w:cnfStyle w:val="000000000000" w:firstRow="0" w:lastRow="0" w:firstColumn="0" w:lastColumn="0" w:oddVBand="0" w:evenVBand="0" w:oddHBand="0" w:evenHBand="0" w:firstRowFirstColumn="0" w:firstRowLastColumn="0" w:lastRowFirstColumn="0" w:lastRowLastColumn="0"/>
            </w:pPr>
            <w:r>
              <w:t>Nov. 14, 2014 or later</w:t>
            </w:r>
          </w:p>
        </w:tc>
        <w:tc>
          <w:tcPr>
            <w:tcW w:w="3158"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r>
      <w:tr w:rsidR="00B067ED"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067ED" w:rsidRPr="00444A1C" w:rsidRDefault="00B067ED" w:rsidP="00B067ED">
            <w:pPr>
              <w:rPr>
                <w:color w:val="auto"/>
              </w:rPr>
            </w:pPr>
            <w:r w:rsidRPr="00444A1C">
              <w:rPr>
                <w:color w:val="auto"/>
              </w:rPr>
              <w:t>End Contractual Employment</w:t>
            </w:r>
          </w:p>
        </w:tc>
        <w:tc>
          <w:tcPr>
            <w:tcW w:w="1915" w:type="dxa"/>
            <w:shd w:val="clear" w:color="auto" w:fill="DDD9C3" w:themeFill="background2" w:themeFillShade="E6"/>
          </w:tcPr>
          <w:p w:rsidR="00B067ED" w:rsidRDefault="00B067ED" w:rsidP="00B067ED">
            <w:pPr>
              <w:cnfStyle w:val="000000100000" w:firstRow="0" w:lastRow="0" w:firstColumn="0" w:lastColumn="0" w:oddVBand="0" w:evenVBand="0" w:oddHBand="1" w:evenHBand="0" w:firstRowFirstColumn="0" w:firstRowLastColumn="0" w:lastRowFirstColumn="0" w:lastRowLastColumn="0"/>
            </w:pPr>
            <w:r>
              <w:t>Yes</w:t>
            </w:r>
          </w:p>
        </w:tc>
        <w:tc>
          <w:tcPr>
            <w:tcW w:w="1915" w:type="dxa"/>
            <w:shd w:val="clear" w:color="auto" w:fill="DDD9C3" w:themeFill="background2" w:themeFillShade="E6"/>
          </w:tcPr>
          <w:p w:rsidR="00B067ED" w:rsidRDefault="00B067ED">
            <w:pPr>
              <w:cnfStyle w:val="000000100000" w:firstRow="0" w:lastRow="0" w:firstColumn="0" w:lastColumn="0" w:oddVBand="0" w:evenVBand="0" w:oddHBand="1" w:evenHBand="0" w:firstRowFirstColumn="0" w:firstRowLastColumn="0" w:lastRowFirstColumn="0" w:lastRowLastColumn="0"/>
            </w:pPr>
          </w:p>
        </w:tc>
        <w:tc>
          <w:tcPr>
            <w:tcW w:w="1915" w:type="dxa"/>
            <w:shd w:val="clear" w:color="auto" w:fill="DDD9C3" w:themeFill="background2" w:themeFillShade="E6"/>
          </w:tcPr>
          <w:p w:rsidR="00B067ED" w:rsidRDefault="00B067ED">
            <w:pPr>
              <w:cnfStyle w:val="000000100000" w:firstRow="0" w:lastRow="0" w:firstColumn="0" w:lastColumn="0" w:oddVBand="0" w:evenVBand="0" w:oddHBand="1" w:evenHBand="0" w:firstRowFirstColumn="0" w:firstRowLastColumn="0" w:lastRowFirstColumn="0" w:lastRowLastColumn="0"/>
            </w:pPr>
          </w:p>
        </w:tc>
        <w:tc>
          <w:tcPr>
            <w:tcW w:w="3158" w:type="dxa"/>
            <w:shd w:val="clear" w:color="auto" w:fill="C6D9F1" w:themeFill="text2" w:themeFillTint="33"/>
          </w:tcPr>
          <w:p w:rsidR="00B067ED" w:rsidRDefault="00B067ED">
            <w:pPr>
              <w:cnfStyle w:val="000000100000" w:firstRow="0" w:lastRow="0" w:firstColumn="0" w:lastColumn="0" w:oddVBand="0" w:evenVBand="0" w:oddHBand="1" w:evenHBand="0" w:firstRowFirstColumn="0" w:firstRowLastColumn="0" w:lastRowFirstColumn="0" w:lastRowLastColumn="0"/>
            </w:pPr>
            <w:r>
              <w:t>Enter into SPS after go-live date with the true effective date</w:t>
            </w:r>
            <w:r w:rsidR="009E0689">
              <w:t xml:space="preserve"> (any date)</w:t>
            </w:r>
          </w:p>
        </w:tc>
        <w:tc>
          <w:tcPr>
            <w:tcW w:w="2970" w:type="dxa"/>
            <w:shd w:val="clear" w:color="auto" w:fill="DDD9C3" w:themeFill="background2" w:themeFillShade="E6"/>
          </w:tcPr>
          <w:p w:rsidR="00B067ED" w:rsidRDefault="00B067ED">
            <w:pPr>
              <w:cnfStyle w:val="000000100000" w:firstRow="0" w:lastRow="0" w:firstColumn="0" w:lastColumn="0" w:oddVBand="0" w:evenVBand="0" w:oddHBand="1" w:evenHBand="0" w:firstRowFirstColumn="0" w:firstRowLastColumn="0" w:lastRowFirstColumn="0" w:lastRowLastColumn="0"/>
            </w:pPr>
            <w:r>
              <w:t>End employment with employee, hold transaction for go-live</w:t>
            </w:r>
          </w:p>
        </w:tc>
      </w:tr>
      <w:tr w:rsidR="00B96DE3" w:rsidTr="009F7A5A">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rsidP="00591FE9">
            <w:pPr>
              <w:rPr>
                <w:color w:val="auto"/>
              </w:rPr>
            </w:pPr>
            <w:proofErr w:type="spellStart"/>
            <w:r w:rsidRPr="00444A1C">
              <w:rPr>
                <w:color w:val="auto"/>
              </w:rPr>
              <w:t>Reclasses</w:t>
            </w:r>
            <w:proofErr w:type="spellEnd"/>
            <w:r w:rsidRPr="00444A1C">
              <w:rPr>
                <w:color w:val="auto"/>
              </w:rPr>
              <w:t>/Other Position Changes</w:t>
            </w:r>
          </w:p>
        </w:tc>
        <w:tc>
          <w:tcPr>
            <w:tcW w:w="1915" w:type="dxa"/>
            <w:shd w:val="clear" w:color="auto" w:fill="DDD9C3" w:themeFill="background2" w:themeFillShade="E6"/>
          </w:tcPr>
          <w:p w:rsidR="00B96DE3" w:rsidRDefault="00B96DE3" w:rsidP="004C7809">
            <w:pPr>
              <w:cnfStyle w:val="000000000000" w:firstRow="0" w:lastRow="0" w:firstColumn="0" w:lastColumn="0" w:oddVBand="0" w:evenVBand="0" w:oddHBand="0" w:evenHBand="0" w:firstRowFirstColumn="0" w:firstRowLastColumn="0" w:lastRowFirstColumn="0" w:lastRowLastColumn="0"/>
            </w:pPr>
            <w:r>
              <w:t>Yes</w:t>
            </w:r>
          </w:p>
        </w:tc>
        <w:tc>
          <w:tcPr>
            <w:tcW w:w="1915" w:type="dxa"/>
            <w:shd w:val="clear" w:color="auto" w:fill="DDD9C3" w:themeFill="background2" w:themeFillShade="E6"/>
          </w:tcPr>
          <w:p w:rsidR="00B96DE3" w:rsidRDefault="00D03772" w:rsidP="00D03772">
            <w:pPr>
              <w:cnfStyle w:val="000000000000" w:firstRow="0" w:lastRow="0" w:firstColumn="0" w:lastColumn="0" w:oddVBand="0" w:evenVBand="0" w:oddHBand="0" w:evenHBand="0" w:firstRowFirstColumn="0" w:firstRowLastColumn="0" w:lastRowFirstColumn="0" w:lastRowLastColumn="0"/>
            </w:pPr>
            <w:r>
              <w:t>Oct. 22, 2014 for  submission on Oct. 15, 2014</w:t>
            </w: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C6D9F1" w:themeFill="text2" w:themeFillTint="33"/>
          </w:tcPr>
          <w:p w:rsidR="00B96DE3" w:rsidRDefault="00B96DE3" w:rsidP="009511E2">
            <w:pPr>
              <w:cnfStyle w:val="000000000000" w:firstRow="0" w:lastRow="0" w:firstColumn="0" w:lastColumn="0" w:oddVBand="0" w:evenVBand="0" w:oddHBand="0" w:evenHBand="0" w:firstRowFirstColumn="0" w:firstRowLastColumn="0" w:lastRowFirstColumn="0" w:lastRowLastColumn="0"/>
            </w:pPr>
            <w:r>
              <w:t>Enter into SPS after go-live date with the true effective date</w:t>
            </w:r>
            <w:r w:rsidR="009E0689">
              <w:t xml:space="preserve"> (any date)</w:t>
            </w:r>
          </w:p>
        </w:tc>
        <w:tc>
          <w:tcPr>
            <w:tcW w:w="2970" w:type="dxa"/>
            <w:shd w:val="clear" w:color="auto" w:fill="DDD9C3" w:themeFill="background2" w:themeFillShade="E6"/>
          </w:tcPr>
          <w:p w:rsidR="00B96DE3" w:rsidRDefault="00BA248C" w:rsidP="009511E2">
            <w:pPr>
              <w:cnfStyle w:val="000000000000" w:firstRow="0" w:lastRow="0" w:firstColumn="0" w:lastColumn="0" w:oddVBand="0" w:evenVBand="0" w:oddHBand="0" w:evenHBand="0" w:firstRowFirstColumn="0" w:firstRowLastColumn="0" w:lastRowFirstColumn="0" w:lastRowLastColumn="0"/>
            </w:pPr>
            <w:r>
              <w:t>Process paper/manual forms as usual, hold transaction for go-live</w:t>
            </w:r>
          </w:p>
        </w:tc>
      </w:tr>
      <w:tr w:rsidR="00B96DE3"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rsidP="00591FE9">
            <w:pPr>
              <w:rPr>
                <w:color w:val="auto"/>
              </w:rPr>
            </w:pPr>
            <w:r w:rsidRPr="00444A1C">
              <w:rPr>
                <w:color w:val="auto"/>
              </w:rPr>
              <w:t>Transfers</w:t>
            </w: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r>
              <w:t>No</w:t>
            </w:r>
          </w:p>
        </w:tc>
        <w:tc>
          <w:tcPr>
            <w:tcW w:w="1915" w:type="dxa"/>
            <w:shd w:val="clear" w:color="auto" w:fill="DDD9C3" w:themeFill="background2" w:themeFillShade="E6"/>
          </w:tcPr>
          <w:p w:rsidR="00B96DE3" w:rsidRDefault="00B96DE3" w:rsidP="00577FA1">
            <w:pPr>
              <w:cnfStyle w:val="000000100000" w:firstRow="0" w:lastRow="0" w:firstColumn="0" w:lastColumn="0" w:oddVBand="0" w:evenVBand="0" w:oddHBand="1" w:evenHBand="0" w:firstRowFirstColumn="0" w:firstRowLastColumn="0" w:lastRowFirstColumn="0" w:lastRowLastColumn="0"/>
            </w:pPr>
            <w:r>
              <w:t xml:space="preserve">Oct. </w:t>
            </w:r>
            <w:r w:rsidR="00577FA1">
              <w:t>22</w:t>
            </w:r>
            <w:r>
              <w:t>, 2014</w:t>
            </w:r>
          </w:p>
        </w:tc>
        <w:tc>
          <w:tcPr>
            <w:tcW w:w="1915" w:type="dxa"/>
            <w:shd w:val="clear" w:color="auto" w:fill="C6D9F1" w:themeFill="text2" w:themeFillTint="33"/>
          </w:tcPr>
          <w:p w:rsidR="00B96DE3" w:rsidRDefault="00B96DE3">
            <w:pPr>
              <w:cnfStyle w:val="000000100000" w:firstRow="0" w:lastRow="0" w:firstColumn="0" w:lastColumn="0" w:oddVBand="0" w:evenVBand="0" w:oddHBand="1" w:evenHBand="0" w:firstRowFirstColumn="0" w:firstRowLastColumn="0" w:lastRowFirstColumn="0" w:lastRowLastColumn="0"/>
            </w:pPr>
            <w:r>
              <w:t>Nov. 14, 2014 or later</w:t>
            </w:r>
          </w:p>
        </w:tc>
        <w:tc>
          <w:tcPr>
            <w:tcW w:w="3158"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r>
      <w:tr w:rsidR="00B96DE3" w:rsidTr="009F7A5A">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rsidP="004C7809">
            <w:pPr>
              <w:rPr>
                <w:color w:val="auto"/>
              </w:rPr>
            </w:pPr>
            <w:r w:rsidRPr="00444A1C">
              <w:rPr>
                <w:color w:val="auto"/>
              </w:rPr>
              <w:t xml:space="preserve">Disciplinary Actions </w:t>
            </w: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r>
              <w:t>Yes</w:t>
            </w: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C6D9F1" w:themeFill="text2" w:themeFillTint="33"/>
          </w:tcPr>
          <w:p w:rsidR="00B96DE3" w:rsidRDefault="00B96DE3" w:rsidP="009511E2">
            <w:pPr>
              <w:cnfStyle w:val="000000000000" w:firstRow="0" w:lastRow="0" w:firstColumn="0" w:lastColumn="0" w:oddVBand="0" w:evenVBand="0" w:oddHBand="0" w:evenHBand="0" w:firstRowFirstColumn="0" w:firstRowLastColumn="0" w:lastRowFirstColumn="0" w:lastRowLastColumn="0"/>
            </w:pPr>
            <w:r>
              <w:t>Enter into SPS after go-live date with the true effective date</w:t>
            </w:r>
            <w:r w:rsidR="009E0689">
              <w:t xml:space="preserve"> (any date)</w:t>
            </w:r>
          </w:p>
        </w:tc>
        <w:tc>
          <w:tcPr>
            <w:tcW w:w="2970" w:type="dxa"/>
            <w:shd w:val="clear" w:color="auto" w:fill="DDD9C3" w:themeFill="background2" w:themeFillShade="E6"/>
          </w:tcPr>
          <w:p w:rsidR="00B96DE3" w:rsidRDefault="00B96DE3" w:rsidP="009511E2">
            <w:pPr>
              <w:cnfStyle w:val="000000000000" w:firstRow="0" w:lastRow="0" w:firstColumn="0" w:lastColumn="0" w:oddVBand="0" w:evenVBand="0" w:oddHBand="0" w:evenHBand="0" w:firstRowFirstColumn="0" w:firstRowLastColumn="0" w:lastRowFirstColumn="0" w:lastRowLastColumn="0"/>
            </w:pPr>
            <w:r>
              <w:t>Process paper/manual forms as usual, hold transaction for go-live</w:t>
            </w:r>
          </w:p>
        </w:tc>
      </w:tr>
      <w:tr w:rsidR="00B96DE3"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rsidP="004C7809">
            <w:pPr>
              <w:rPr>
                <w:color w:val="auto"/>
              </w:rPr>
            </w:pPr>
            <w:r w:rsidRPr="00444A1C">
              <w:rPr>
                <w:color w:val="auto"/>
              </w:rPr>
              <w:t>Terminations</w:t>
            </w:r>
          </w:p>
        </w:tc>
        <w:tc>
          <w:tcPr>
            <w:tcW w:w="1915" w:type="dxa"/>
            <w:shd w:val="clear" w:color="auto" w:fill="DDD9C3" w:themeFill="background2" w:themeFillShade="E6"/>
          </w:tcPr>
          <w:p w:rsidR="00B96DE3" w:rsidRDefault="00B96DE3" w:rsidP="004C7809">
            <w:pPr>
              <w:cnfStyle w:val="000000100000" w:firstRow="0" w:lastRow="0" w:firstColumn="0" w:lastColumn="0" w:oddVBand="0" w:evenVBand="0" w:oddHBand="1" w:evenHBand="0" w:firstRowFirstColumn="0" w:firstRowLastColumn="0" w:lastRowFirstColumn="0" w:lastRowLastColumn="0"/>
            </w:pPr>
            <w:r>
              <w:t>Yes</w:t>
            </w: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3158" w:type="dxa"/>
            <w:shd w:val="clear" w:color="auto" w:fill="C6D9F1" w:themeFill="text2" w:themeFillTint="33"/>
          </w:tcPr>
          <w:p w:rsidR="00B96DE3" w:rsidRDefault="00B96DE3" w:rsidP="009511E2">
            <w:pPr>
              <w:cnfStyle w:val="000000100000" w:firstRow="0" w:lastRow="0" w:firstColumn="0" w:lastColumn="0" w:oddVBand="0" w:evenVBand="0" w:oddHBand="1" w:evenHBand="0" w:firstRowFirstColumn="0" w:firstRowLastColumn="0" w:lastRowFirstColumn="0" w:lastRowLastColumn="0"/>
            </w:pPr>
            <w:r>
              <w:t>Enter into SPS after go-live date with the true effective date</w:t>
            </w:r>
            <w:r w:rsidR="009E0689">
              <w:t xml:space="preserve"> (any date)</w:t>
            </w:r>
          </w:p>
        </w:tc>
        <w:tc>
          <w:tcPr>
            <w:tcW w:w="2970" w:type="dxa"/>
            <w:shd w:val="clear" w:color="auto" w:fill="DDD9C3" w:themeFill="background2" w:themeFillShade="E6"/>
          </w:tcPr>
          <w:p w:rsidR="00B96DE3" w:rsidRDefault="00B96DE3" w:rsidP="009511E2">
            <w:pPr>
              <w:cnfStyle w:val="000000100000" w:firstRow="0" w:lastRow="0" w:firstColumn="0" w:lastColumn="0" w:oddVBand="0" w:evenVBand="0" w:oddHBand="1" w:evenHBand="0" w:firstRowFirstColumn="0" w:firstRowLastColumn="0" w:lastRowFirstColumn="0" w:lastRowLastColumn="0"/>
            </w:pPr>
            <w:r>
              <w:t>Process paper/manual forms as usual, hold transaction for go-live</w:t>
            </w:r>
          </w:p>
        </w:tc>
      </w:tr>
      <w:tr w:rsidR="00B96DE3" w:rsidTr="009F7A5A">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pPr>
              <w:rPr>
                <w:color w:val="auto"/>
              </w:rPr>
            </w:pPr>
            <w:r w:rsidRPr="00444A1C">
              <w:rPr>
                <w:color w:val="auto"/>
              </w:rPr>
              <w:t>Retirements</w:t>
            </w:r>
          </w:p>
        </w:tc>
        <w:tc>
          <w:tcPr>
            <w:tcW w:w="1915" w:type="dxa"/>
            <w:shd w:val="clear" w:color="auto" w:fill="DDD9C3" w:themeFill="background2" w:themeFillShade="E6"/>
          </w:tcPr>
          <w:p w:rsidR="00B96DE3" w:rsidRDefault="00B96DE3" w:rsidP="004C7809">
            <w:pPr>
              <w:cnfStyle w:val="000000000000" w:firstRow="0" w:lastRow="0" w:firstColumn="0" w:lastColumn="0" w:oddVBand="0" w:evenVBand="0" w:oddHBand="0" w:evenHBand="0" w:firstRowFirstColumn="0" w:firstRowLastColumn="0" w:lastRowFirstColumn="0" w:lastRowLastColumn="0"/>
            </w:pPr>
            <w:r>
              <w:t>Yes</w:t>
            </w: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1915" w:type="dxa"/>
            <w:shd w:val="clear" w:color="auto" w:fill="DDD9C3" w:themeFill="background2" w:themeFillShade="E6"/>
          </w:tcPr>
          <w:p w:rsidR="00B96DE3" w:rsidRDefault="00B96DE3">
            <w:pPr>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C6D9F1" w:themeFill="text2" w:themeFillTint="33"/>
          </w:tcPr>
          <w:p w:rsidR="00B96DE3" w:rsidRDefault="00B96DE3" w:rsidP="009511E2">
            <w:pPr>
              <w:cnfStyle w:val="000000000000" w:firstRow="0" w:lastRow="0" w:firstColumn="0" w:lastColumn="0" w:oddVBand="0" w:evenVBand="0" w:oddHBand="0" w:evenHBand="0" w:firstRowFirstColumn="0" w:firstRowLastColumn="0" w:lastRowFirstColumn="0" w:lastRowLastColumn="0"/>
            </w:pPr>
            <w:r>
              <w:t>Enter into SPS after go-live date with the true effective date</w:t>
            </w:r>
            <w:r w:rsidR="009E0689">
              <w:t xml:space="preserve"> (any date)</w:t>
            </w:r>
          </w:p>
        </w:tc>
        <w:tc>
          <w:tcPr>
            <w:tcW w:w="2970" w:type="dxa"/>
            <w:shd w:val="clear" w:color="auto" w:fill="DDD9C3" w:themeFill="background2" w:themeFillShade="E6"/>
          </w:tcPr>
          <w:p w:rsidR="00B96DE3" w:rsidRDefault="00B96DE3" w:rsidP="009511E2">
            <w:pPr>
              <w:cnfStyle w:val="000000000000" w:firstRow="0" w:lastRow="0" w:firstColumn="0" w:lastColumn="0" w:oddVBand="0" w:evenVBand="0" w:oddHBand="0" w:evenHBand="0" w:firstRowFirstColumn="0" w:firstRowLastColumn="0" w:lastRowFirstColumn="0" w:lastRowLastColumn="0"/>
            </w:pPr>
            <w:r>
              <w:t>Process paper/manual forms as usual, hold transaction for go-live</w:t>
            </w:r>
          </w:p>
        </w:tc>
      </w:tr>
      <w:tr w:rsidR="00B96DE3" w:rsidTr="00A81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B96DE3" w:rsidRPr="00444A1C" w:rsidRDefault="00B96DE3">
            <w:pPr>
              <w:rPr>
                <w:color w:val="auto"/>
              </w:rPr>
            </w:pPr>
            <w:r w:rsidRPr="00444A1C">
              <w:rPr>
                <w:color w:val="auto"/>
              </w:rPr>
              <w:t>Final Payouts</w:t>
            </w:r>
            <w:r w:rsidR="00D75189" w:rsidRPr="00444A1C">
              <w:rPr>
                <w:color w:val="auto"/>
              </w:rPr>
              <w:t xml:space="preserve"> Oct</w:t>
            </w:r>
            <w:r w:rsidR="00442342" w:rsidRPr="00444A1C">
              <w:rPr>
                <w:color w:val="auto"/>
              </w:rPr>
              <w:t>.</w:t>
            </w:r>
            <w:r w:rsidR="00D75189" w:rsidRPr="00444A1C">
              <w:rPr>
                <w:color w:val="auto"/>
              </w:rPr>
              <w:t xml:space="preserve"> 22, 2014</w:t>
            </w: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r>
              <w:t>Yes</w:t>
            </w: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1915" w:type="dxa"/>
            <w:shd w:val="clear" w:color="auto" w:fill="DDD9C3" w:themeFill="background2" w:themeFillShade="E6"/>
          </w:tcPr>
          <w:p w:rsidR="00B96DE3" w:rsidRDefault="00B96DE3">
            <w:pPr>
              <w:cnfStyle w:val="000000100000" w:firstRow="0" w:lastRow="0" w:firstColumn="0" w:lastColumn="0" w:oddVBand="0" w:evenVBand="0" w:oddHBand="1" w:evenHBand="0" w:firstRowFirstColumn="0" w:firstRowLastColumn="0" w:lastRowFirstColumn="0" w:lastRowLastColumn="0"/>
            </w:pPr>
          </w:p>
        </w:tc>
        <w:tc>
          <w:tcPr>
            <w:tcW w:w="3158" w:type="dxa"/>
            <w:shd w:val="clear" w:color="auto" w:fill="DDD9C3" w:themeFill="background2" w:themeFillShade="E6"/>
          </w:tcPr>
          <w:p w:rsidR="00B96DE3" w:rsidRDefault="00D75189">
            <w:pPr>
              <w:cnfStyle w:val="000000100000" w:firstRow="0" w:lastRow="0" w:firstColumn="0" w:lastColumn="0" w:oddVBand="0" w:evenVBand="0" w:oddHBand="1" w:evenHBand="0" w:firstRowFirstColumn="0" w:firstRowLastColumn="0" w:lastRowFirstColumn="0" w:lastRowLastColumn="0"/>
            </w:pPr>
            <w:r>
              <w:t>Oct. 22 pay not affected for actions on PPE Oct. 14</w:t>
            </w:r>
          </w:p>
        </w:tc>
        <w:tc>
          <w:tcPr>
            <w:tcW w:w="2970" w:type="dxa"/>
            <w:shd w:val="clear" w:color="auto" w:fill="DDD9C3" w:themeFill="background2" w:themeFillShade="E6"/>
          </w:tcPr>
          <w:p w:rsidR="00B96DE3" w:rsidRDefault="00341FD1">
            <w:pPr>
              <w:cnfStyle w:val="000000100000" w:firstRow="0" w:lastRow="0" w:firstColumn="0" w:lastColumn="0" w:oddVBand="0" w:evenVBand="0" w:oddHBand="1" w:evenHBand="0" w:firstRowFirstColumn="0" w:firstRowLastColumn="0" w:lastRowFirstColumn="0" w:lastRowLastColumn="0"/>
            </w:pPr>
            <w:r>
              <w:t>Handle payout process as usual</w:t>
            </w:r>
          </w:p>
        </w:tc>
      </w:tr>
      <w:tr w:rsidR="000C5CF7" w:rsidTr="00A8139B">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0C5CF7" w:rsidRPr="00444A1C" w:rsidRDefault="000C5CF7" w:rsidP="000C5CF7">
            <w:pPr>
              <w:rPr>
                <w:color w:val="auto"/>
              </w:rPr>
            </w:pPr>
            <w:r w:rsidRPr="00444A1C">
              <w:rPr>
                <w:color w:val="auto"/>
              </w:rPr>
              <w:t>Final Payouts Nov</w:t>
            </w:r>
            <w:r w:rsidR="00442342" w:rsidRPr="00444A1C">
              <w:rPr>
                <w:color w:val="auto"/>
              </w:rPr>
              <w:t>.</w:t>
            </w:r>
            <w:r w:rsidRPr="00444A1C">
              <w:rPr>
                <w:color w:val="auto"/>
              </w:rPr>
              <w:t xml:space="preserve"> 5, 2014</w:t>
            </w:r>
          </w:p>
        </w:tc>
        <w:tc>
          <w:tcPr>
            <w:tcW w:w="1915" w:type="dxa"/>
            <w:shd w:val="clear" w:color="auto" w:fill="DDD9C3" w:themeFill="background2" w:themeFillShade="E6"/>
          </w:tcPr>
          <w:p w:rsidR="000C5CF7" w:rsidRDefault="000C5CF7" w:rsidP="000C5CF7">
            <w:pPr>
              <w:cnfStyle w:val="000000000000" w:firstRow="0" w:lastRow="0" w:firstColumn="0" w:lastColumn="0" w:oddVBand="0" w:evenVBand="0" w:oddHBand="0" w:evenHBand="0" w:firstRowFirstColumn="0" w:firstRowLastColumn="0" w:lastRowFirstColumn="0" w:lastRowLastColumn="0"/>
            </w:pPr>
            <w:r>
              <w:t>Yes</w:t>
            </w:r>
          </w:p>
        </w:tc>
        <w:tc>
          <w:tcPr>
            <w:tcW w:w="1915" w:type="dxa"/>
            <w:shd w:val="clear" w:color="auto" w:fill="DDD9C3" w:themeFill="background2" w:themeFillShade="E6"/>
          </w:tcPr>
          <w:p w:rsidR="000C5CF7" w:rsidRDefault="000C5CF7">
            <w:pPr>
              <w:cnfStyle w:val="000000000000" w:firstRow="0" w:lastRow="0" w:firstColumn="0" w:lastColumn="0" w:oddVBand="0" w:evenVBand="0" w:oddHBand="0" w:evenHBand="0" w:firstRowFirstColumn="0" w:firstRowLastColumn="0" w:lastRowFirstColumn="0" w:lastRowLastColumn="0"/>
            </w:pPr>
          </w:p>
        </w:tc>
        <w:tc>
          <w:tcPr>
            <w:tcW w:w="1915" w:type="dxa"/>
            <w:shd w:val="clear" w:color="auto" w:fill="DDD9C3" w:themeFill="background2" w:themeFillShade="E6"/>
          </w:tcPr>
          <w:p w:rsidR="000C5CF7" w:rsidRDefault="000C5CF7">
            <w:pPr>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DDD9C3" w:themeFill="background2" w:themeFillShade="E6"/>
          </w:tcPr>
          <w:p w:rsidR="000C5CF7" w:rsidRDefault="000C5CF7" w:rsidP="00341FD1">
            <w:pPr>
              <w:cnfStyle w:val="000000000000" w:firstRow="0" w:lastRow="0" w:firstColumn="0" w:lastColumn="0" w:oddVBand="0" w:evenVBand="0" w:oddHBand="0" w:evenHBand="0" w:firstRowFirstColumn="0" w:firstRowLastColumn="0" w:lastRowFirstColumn="0" w:lastRowLastColumn="0"/>
            </w:pPr>
            <w:r>
              <w:t xml:space="preserve">Nov. 5 pay not affected for actions </w:t>
            </w:r>
            <w:r w:rsidR="00341FD1">
              <w:t xml:space="preserve">effective on or before </w:t>
            </w:r>
            <w:r>
              <w:t>Oct. 15</w:t>
            </w:r>
          </w:p>
        </w:tc>
        <w:tc>
          <w:tcPr>
            <w:tcW w:w="2970" w:type="dxa"/>
            <w:shd w:val="clear" w:color="auto" w:fill="DDD9C3" w:themeFill="background2" w:themeFillShade="E6"/>
          </w:tcPr>
          <w:p w:rsidR="000C5CF7" w:rsidRDefault="00341FD1">
            <w:pPr>
              <w:cnfStyle w:val="000000000000" w:firstRow="0" w:lastRow="0" w:firstColumn="0" w:lastColumn="0" w:oddVBand="0" w:evenVBand="0" w:oddHBand="0" w:evenHBand="0" w:firstRowFirstColumn="0" w:firstRowLastColumn="0" w:lastRowFirstColumn="0" w:lastRowLastColumn="0"/>
            </w:pPr>
            <w:r>
              <w:t>Handle payout process as usual</w:t>
            </w:r>
          </w:p>
        </w:tc>
      </w:tr>
      <w:tr w:rsidR="00341FD1"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341FD1" w:rsidRPr="00444A1C" w:rsidRDefault="00341FD1" w:rsidP="00341FD1">
            <w:pPr>
              <w:rPr>
                <w:color w:val="auto"/>
              </w:rPr>
            </w:pPr>
            <w:r w:rsidRPr="00444A1C">
              <w:rPr>
                <w:color w:val="auto"/>
              </w:rPr>
              <w:lastRenderedPageBreak/>
              <w:t>Final Payouts Nov</w:t>
            </w:r>
            <w:r w:rsidR="00442342" w:rsidRPr="00444A1C">
              <w:rPr>
                <w:color w:val="auto"/>
              </w:rPr>
              <w:t>.</w:t>
            </w:r>
            <w:r w:rsidRPr="00444A1C">
              <w:rPr>
                <w:color w:val="auto"/>
              </w:rPr>
              <w:t xml:space="preserve"> 19, 2014</w:t>
            </w:r>
          </w:p>
        </w:tc>
        <w:tc>
          <w:tcPr>
            <w:tcW w:w="1915" w:type="dxa"/>
            <w:shd w:val="clear" w:color="auto" w:fill="DDD9C3" w:themeFill="background2" w:themeFillShade="E6"/>
          </w:tcPr>
          <w:p w:rsidR="00341FD1" w:rsidRDefault="00442342" w:rsidP="000C5CF7">
            <w:pPr>
              <w:cnfStyle w:val="000000100000" w:firstRow="0" w:lastRow="0" w:firstColumn="0" w:lastColumn="0" w:oddVBand="0" w:evenVBand="0" w:oddHBand="1" w:evenHBand="0" w:firstRowFirstColumn="0" w:firstRowLastColumn="0" w:lastRowFirstColumn="0" w:lastRowLastColumn="0"/>
            </w:pPr>
            <w:r>
              <w:t>NA</w:t>
            </w:r>
          </w:p>
        </w:tc>
        <w:tc>
          <w:tcPr>
            <w:tcW w:w="1915" w:type="dxa"/>
            <w:shd w:val="clear" w:color="auto" w:fill="DDD9C3" w:themeFill="background2" w:themeFillShade="E6"/>
          </w:tcPr>
          <w:p w:rsidR="00341FD1" w:rsidRDefault="00341FD1">
            <w:pPr>
              <w:cnfStyle w:val="000000100000" w:firstRow="0" w:lastRow="0" w:firstColumn="0" w:lastColumn="0" w:oddVBand="0" w:evenVBand="0" w:oddHBand="1" w:evenHBand="0" w:firstRowFirstColumn="0" w:firstRowLastColumn="0" w:lastRowFirstColumn="0" w:lastRowLastColumn="0"/>
            </w:pPr>
          </w:p>
        </w:tc>
        <w:tc>
          <w:tcPr>
            <w:tcW w:w="1915" w:type="dxa"/>
            <w:shd w:val="clear" w:color="auto" w:fill="DDD9C3" w:themeFill="background2" w:themeFillShade="E6"/>
          </w:tcPr>
          <w:p w:rsidR="00341FD1" w:rsidRDefault="00341FD1">
            <w:pPr>
              <w:cnfStyle w:val="000000100000" w:firstRow="0" w:lastRow="0" w:firstColumn="0" w:lastColumn="0" w:oddVBand="0" w:evenVBand="0" w:oddHBand="1" w:evenHBand="0" w:firstRowFirstColumn="0" w:firstRowLastColumn="0" w:lastRowFirstColumn="0" w:lastRowLastColumn="0"/>
            </w:pPr>
          </w:p>
        </w:tc>
        <w:tc>
          <w:tcPr>
            <w:tcW w:w="3158" w:type="dxa"/>
            <w:shd w:val="clear" w:color="auto" w:fill="C6D9F1" w:themeFill="text2" w:themeFillTint="33"/>
          </w:tcPr>
          <w:p w:rsidR="00341FD1" w:rsidRDefault="00341FD1" w:rsidP="00341FD1">
            <w:pPr>
              <w:cnfStyle w:val="000000100000" w:firstRow="0" w:lastRow="0" w:firstColumn="0" w:lastColumn="0" w:oddVBand="0" w:evenVBand="0" w:oddHBand="1" w:evenHBand="0" w:firstRowFirstColumn="0" w:firstRowLastColumn="0" w:lastRowFirstColumn="0" w:lastRowLastColumn="0"/>
            </w:pPr>
            <w:r>
              <w:t>Enter terminations on Nov. 14 with true effective date</w:t>
            </w:r>
          </w:p>
        </w:tc>
        <w:tc>
          <w:tcPr>
            <w:tcW w:w="2970" w:type="dxa"/>
            <w:shd w:val="clear" w:color="auto" w:fill="DDD9C3" w:themeFill="background2" w:themeFillShade="E6"/>
          </w:tcPr>
          <w:p w:rsidR="00341FD1" w:rsidRDefault="00442342" w:rsidP="00442342">
            <w:pPr>
              <w:cnfStyle w:val="000000100000" w:firstRow="0" w:lastRow="0" w:firstColumn="0" w:lastColumn="0" w:oddVBand="0" w:evenVBand="0" w:oddHBand="1" w:evenHBand="0" w:firstRowFirstColumn="0" w:firstRowLastColumn="0" w:lastRowFirstColumn="0" w:lastRowLastColumn="0"/>
            </w:pPr>
            <w:r w:rsidRPr="00442342">
              <w:t xml:space="preserve">These will </w:t>
            </w:r>
            <w:r w:rsidRPr="00442342">
              <w:rPr>
                <w:b/>
                <w:u w:val="single"/>
              </w:rPr>
              <w:t>not</w:t>
            </w:r>
            <w:r w:rsidRPr="00442342">
              <w:t xml:space="preserve"> make the </w:t>
            </w:r>
            <w:r w:rsidR="001F4374" w:rsidRPr="00442342">
              <w:t>PPE Nov. 11</w:t>
            </w:r>
            <w:r w:rsidRPr="00442342">
              <w:t>.</w:t>
            </w:r>
            <w:r>
              <w:t xml:space="preserve">  These will have to be handled on the next pay date, Dec. 3</w:t>
            </w:r>
          </w:p>
        </w:tc>
      </w:tr>
      <w:tr w:rsidR="00442342" w:rsidTr="009F7A5A">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442342" w:rsidRPr="00444A1C" w:rsidRDefault="00442342" w:rsidP="00442342">
            <w:pPr>
              <w:rPr>
                <w:color w:val="auto"/>
              </w:rPr>
            </w:pPr>
            <w:r w:rsidRPr="00444A1C">
              <w:rPr>
                <w:color w:val="auto"/>
              </w:rPr>
              <w:t>Final Payouts Dec. 3, 2014</w:t>
            </w:r>
          </w:p>
        </w:tc>
        <w:tc>
          <w:tcPr>
            <w:tcW w:w="1915" w:type="dxa"/>
            <w:shd w:val="clear" w:color="auto" w:fill="DDD9C3" w:themeFill="background2" w:themeFillShade="E6"/>
          </w:tcPr>
          <w:p w:rsidR="00442342" w:rsidRDefault="00442342" w:rsidP="000C5CF7">
            <w:pPr>
              <w:cnfStyle w:val="000000000000" w:firstRow="0" w:lastRow="0" w:firstColumn="0" w:lastColumn="0" w:oddVBand="0" w:evenVBand="0" w:oddHBand="0" w:evenHBand="0" w:firstRowFirstColumn="0" w:firstRowLastColumn="0" w:lastRowFirstColumn="0" w:lastRowLastColumn="0"/>
            </w:pPr>
            <w:r>
              <w:t>NA</w:t>
            </w:r>
          </w:p>
        </w:tc>
        <w:tc>
          <w:tcPr>
            <w:tcW w:w="1915" w:type="dxa"/>
            <w:shd w:val="clear" w:color="auto" w:fill="DDD9C3" w:themeFill="background2" w:themeFillShade="E6"/>
          </w:tcPr>
          <w:p w:rsidR="00442342" w:rsidRDefault="00442342">
            <w:pPr>
              <w:cnfStyle w:val="000000000000" w:firstRow="0" w:lastRow="0" w:firstColumn="0" w:lastColumn="0" w:oddVBand="0" w:evenVBand="0" w:oddHBand="0" w:evenHBand="0" w:firstRowFirstColumn="0" w:firstRowLastColumn="0" w:lastRowFirstColumn="0" w:lastRowLastColumn="0"/>
            </w:pPr>
          </w:p>
        </w:tc>
        <w:tc>
          <w:tcPr>
            <w:tcW w:w="1915" w:type="dxa"/>
            <w:shd w:val="clear" w:color="auto" w:fill="DDD9C3" w:themeFill="background2" w:themeFillShade="E6"/>
          </w:tcPr>
          <w:p w:rsidR="00442342" w:rsidRDefault="00442342">
            <w:pPr>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C6D9F1" w:themeFill="text2" w:themeFillTint="33"/>
          </w:tcPr>
          <w:p w:rsidR="00442342" w:rsidRDefault="00442342" w:rsidP="00341FD1">
            <w:pPr>
              <w:cnfStyle w:val="000000000000" w:firstRow="0" w:lastRow="0" w:firstColumn="0" w:lastColumn="0" w:oddVBand="0" w:evenVBand="0" w:oddHBand="0" w:evenHBand="0" w:firstRowFirstColumn="0" w:firstRowLastColumn="0" w:lastRowFirstColumn="0" w:lastRowLastColumn="0"/>
            </w:pPr>
            <w:r>
              <w:t>Enter terminations on Nov. 14 with true effective date</w:t>
            </w:r>
          </w:p>
        </w:tc>
        <w:tc>
          <w:tcPr>
            <w:tcW w:w="2970" w:type="dxa"/>
            <w:shd w:val="clear" w:color="auto" w:fill="C6D9F1" w:themeFill="text2" w:themeFillTint="33"/>
          </w:tcPr>
          <w:p w:rsidR="00442342" w:rsidRPr="00442342" w:rsidRDefault="00442342" w:rsidP="00442342">
            <w:pPr>
              <w:cnfStyle w:val="000000000000" w:firstRow="0" w:lastRow="0" w:firstColumn="0" w:lastColumn="0" w:oddVBand="0" w:evenVBand="0" w:oddHBand="0" w:evenHBand="0" w:firstRowFirstColumn="0" w:firstRowLastColumn="0" w:lastRowFirstColumn="0" w:lastRowLastColumn="0"/>
            </w:pPr>
            <w:r>
              <w:t>Handle payout process as usual, for payouts that missed Nov. 19 and for new payouts for Dec. 3</w:t>
            </w:r>
          </w:p>
        </w:tc>
      </w:tr>
      <w:tr w:rsidR="001A29B6" w:rsidTr="009F7A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1A29B6" w:rsidRPr="00444A1C" w:rsidRDefault="001A29B6" w:rsidP="00442342">
            <w:pPr>
              <w:rPr>
                <w:color w:val="auto"/>
              </w:rPr>
            </w:pPr>
            <w:proofErr w:type="spellStart"/>
            <w:r w:rsidRPr="00444A1C">
              <w:rPr>
                <w:color w:val="auto"/>
              </w:rPr>
              <w:t>JobAps</w:t>
            </w:r>
            <w:proofErr w:type="spellEnd"/>
            <w:r w:rsidRPr="00444A1C">
              <w:rPr>
                <w:color w:val="auto"/>
              </w:rPr>
              <w:t xml:space="preserve"> Hire Dates and Activity</w:t>
            </w:r>
          </w:p>
        </w:tc>
        <w:tc>
          <w:tcPr>
            <w:tcW w:w="1915" w:type="dxa"/>
            <w:shd w:val="clear" w:color="auto" w:fill="DDD9C3" w:themeFill="background2" w:themeFillShade="E6"/>
          </w:tcPr>
          <w:p w:rsidR="001A29B6" w:rsidRDefault="001A29B6" w:rsidP="000C5CF7">
            <w:pPr>
              <w:cnfStyle w:val="000000100000" w:firstRow="0" w:lastRow="0" w:firstColumn="0" w:lastColumn="0" w:oddVBand="0" w:evenVBand="0" w:oddHBand="1" w:evenHBand="0" w:firstRowFirstColumn="0" w:firstRowLastColumn="0" w:lastRowFirstColumn="0" w:lastRowLastColumn="0"/>
            </w:pPr>
            <w:r>
              <w:t>Yes</w:t>
            </w:r>
          </w:p>
        </w:tc>
        <w:tc>
          <w:tcPr>
            <w:tcW w:w="1915" w:type="dxa"/>
            <w:shd w:val="clear" w:color="auto" w:fill="DDD9C3" w:themeFill="background2" w:themeFillShade="E6"/>
          </w:tcPr>
          <w:p w:rsidR="001A29B6" w:rsidRDefault="001A29B6" w:rsidP="009E0689">
            <w:pPr>
              <w:cnfStyle w:val="000000100000" w:firstRow="0" w:lastRow="0" w:firstColumn="0" w:lastColumn="0" w:oddVBand="0" w:evenVBand="0" w:oddHBand="1" w:evenHBand="0" w:firstRowFirstColumn="0" w:firstRowLastColumn="0" w:lastRowFirstColumn="0" w:lastRowLastColumn="0"/>
            </w:pPr>
            <w:r>
              <w:t xml:space="preserve">Last hire date, Oct. </w:t>
            </w:r>
            <w:r w:rsidR="009E0689">
              <w:t>22</w:t>
            </w:r>
            <w:r>
              <w:t>, 2014</w:t>
            </w:r>
          </w:p>
        </w:tc>
        <w:tc>
          <w:tcPr>
            <w:tcW w:w="1915" w:type="dxa"/>
            <w:shd w:val="clear" w:color="auto" w:fill="DDD9C3" w:themeFill="background2" w:themeFillShade="E6"/>
          </w:tcPr>
          <w:p w:rsidR="001A29B6" w:rsidRDefault="00123274">
            <w:pPr>
              <w:cnfStyle w:val="000000100000" w:firstRow="0" w:lastRow="0" w:firstColumn="0" w:lastColumn="0" w:oddVBand="0" w:evenVBand="0" w:oddHBand="1" w:evenHBand="0" w:firstRowFirstColumn="0" w:firstRowLastColumn="0" w:lastRowFirstColumn="0" w:lastRowLastColumn="0"/>
            </w:pPr>
            <w:r>
              <w:t>Hire date, Nov. 14, 2014</w:t>
            </w:r>
            <w:r w:rsidR="009E0689">
              <w:t xml:space="preserve"> or later</w:t>
            </w:r>
          </w:p>
        </w:tc>
        <w:tc>
          <w:tcPr>
            <w:tcW w:w="3158" w:type="dxa"/>
            <w:shd w:val="clear" w:color="auto" w:fill="C6D9F1" w:themeFill="text2" w:themeFillTint="33"/>
          </w:tcPr>
          <w:p w:rsidR="001A29B6" w:rsidRDefault="00123274" w:rsidP="004D67ED">
            <w:pPr>
              <w:cnfStyle w:val="000000100000" w:firstRow="0" w:lastRow="0" w:firstColumn="0" w:lastColumn="0" w:oddVBand="0" w:evenVBand="0" w:oddHBand="1" w:evenHBand="0" w:firstRowFirstColumn="0" w:firstRowLastColumn="0" w:lastRowFirstColumn="0" w:lastRowLastColumn="0"/>
            </w:pPr>
            <w:r>
              <w:t xml:space="preserve">Hire Details in </w:t>
            </w:r>
            <w:proofErr w:type="spellStart"/>
            <w:r>
              <w:t>JobAps</w:t>
            </w:r>
            <w:proofErr w:type="spellEnd"/>
            <w:r>
              <w:t xml:space="preserve"> completed during the shutdown period will be sent to Workday via integration on Nov. 14.</w:t>
            </w:r>
            <w:r w:rsidR="004D67ED">
              <w:t xml:space="preserve"> In the evening</w:t>
            </w:r>
          </w:p>
        </w:tc>
        <w:tc>
          <w:tcPr>
            <w:tcW w:w="2970" w:type="dxa"/>
            <w:shd w:val="clear" w:color="auto" w:fill="C6D9F1" w:themeFill="text2" w:themeFillTint="33"/>
          </w:tcPr>
          <w:p w:rsidR="001A29B6" w:rsidRDefault="00123274" w:rsidP="00442342">
            <w:pPr>
              <w:cnfStyle w:val="000000100000" w:firstRow="0" w:lastRow="0" w:firstColumn="0" w:lastColumn="0" w:oddVBand="0" w:evenVBand="0" w:oddHBand="1" w:evenHBand="0" w:firstRowFirstColumn="0" w:firstRowLastColumn="0" w:lastRowFirstColumn="0" w:lastRowLastColumn="0"/>
            </w:pPr>
            <w:r>
              <w:t xml:space="preserve">HR staff in Workday will see the Hire events from </w:t>
            </w:r>
            <w:r w:rsidR="004D67ED">
              <w:t xml:space="preserve">the </w:t>
            </w:r>
            <w:proofErr w:type="spellStart"/>
            <w:r>
              <w:t>JobAps</w:t>
            </w:r>
            <w:proofErr w:type="spellEnd"/>
            <w:r w:rsidR="004D67ED">
              <w:t xml:space="preserve"> integration</w:t>
            </w:r>
            <w:r>
              <w:t xml:space="preserve"> on Monday, Nov. 17.</w:t>
            </w:r>
            <w:bookmarkStart w:id="0" w:name="_GoBack"/>
            <w:bookmarkEnd w:id="0"/>
          </w:p>
        </w:tc>
      </w:tr>
      <w:tr w:rsidR="009E5481" w:rsidTr="001E2EA7">
        <w:tc>
          <w:tcPr>
            <w:cnfStyle w:val="001000000000" w:firstRow="0" w:lastRow="0" w:firstColumn="1" w:lastColumn="0" w:oddVBand="0" w:evenVBand="0" w:oddHBand="0" w:evenHBand="0" w:firstRowFirstColumn="0" w:firstRowLastColumn="0" w:lastRowFirstColumn="0" w:lastRowLastColumn="0"/>
            <w:tcW w:w="1915" w:type="dxa"/>
            <w:shd w:val="clear" w:color="auto" w:fill="C4BC96" w:themeFill="background2" w:themeFillShade="BF"/>
          </w:tcPr>
          <w:p w:rsidR="009E5481" w:rsidRPr="00444A1C" w:rsidRDefault="009E5481" w:rsidP="00442342">
            <w:pPr>
              <w:rPr>
                <w:color w:val="auto"/>
              </w:rPr>
            </w:pPr>
            <w:r w:rsidRPr="00444A1C">
              <w:rPr>
                <w:color w:val="auto"/>
              </w:rPr>
              <w:t>SharePoint Data Entry</w:t>
            </w:r>
          </w:p>
        </w:tc>
        <w:tc>
          <w:tcPr>
            <w:tcW w:w="11873" w:type="dxa"/>
            <w:gridSpan w:val="5"/>
            <w:shd w:val="clear" w:color="auto" w:fill="DDD9C3" w:themeFill="background2" w:themeFillShade="E6"/>
          </w:tcPr>
          <w:p w:rsidR="009E5481" w:rsidRDefault="009E5481" w:rsidP="009E5481">
            <w:pPr>
              <w:cnfStyle w:val="000000000000" w:firstRow="0" w:lastRow="0" w:firstColumn="0" w:lastColumn="0" w:oddVBand="0" w:evenVBand="0" w:oddHBand="0" w:evenHBand="0" w:firstRowFirstColumn="0" w:firstRowLastColumn="0" w:lastRowFirstColumn="0" w:lastRowLastColumn="0"/>
            </w:pPr>
            <w:r>
              <w:t>The last date for data entry into the OD or PD Forms in SharePoint will be close of business on Wednesday, Oct. 22, 2014.  The OD Form is the information that drives the supervisory relationships and organizational structure in Workday.  This information should be as up to date as possible</w:t>
            </w:r>
            <w:r w:rsidR="0019485D">
              <w:t xml:space="preserve"> on Oct. 22</w:t>
            </w:r>
            <w:r>
              <w:t xml:space="preserve">. </w:t>
            </w:r>
          </w:p>
        </w:tc>
      </w:tr>
    </w:tbl>
    <w:p w:rsidR="009D13F7" w:rsidRDefault="009D13F7"/>
    <w:sectPr w:rsidR="009D13F7" w:rsidSect="00D03772">
      <w:headerReference w:type="default" r:id="rId7"/>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4BD" w:rsidRDefault="002074BD" w:rsidP="002074BD">
      <w:pPr>
        <w:spacing w:after="0" w:line="240" w:lineRule="auto"/>
      </w:pPr>
      <w:r>
        <w:separator/>
      </w:r>
    </w:p>
  </w:endnote>
  <w:endnote w:type="continuationSeparator" w:id="0">
    <w:p w:rsidR="002074BD" w:rsidRDefault="002074BD" w:rsidP="0020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4BD" w:rsidRDefault="002074BD" w:rsidP="002074BD">
      <w:pPr>
        <w:spacing w:after="0" w:line="240" w:lineRule="auto"/>
      </w:pPr>
      <w:r>
        <w:separator/>
      </w:r>
    </w:p>
  </w:footnote>
  <w:footnote w:type="continuationSeparator" w:id="0">
    <w:p w:rsidR="002074BD" w:rsidRDefault="002074BD" w:rsidP="00207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BD" w:rsidRPr="00444A1C" w:rsidRDefault="002074BD">
    <w:pPr>
      <w:pStyle w:val="Header"/>
      <w:rPr>
        <w:b/>
        <w:sz w:val="24"/>
        <w:szCs w:val="24"/>
      </w:rPr>
    </w:pPr>
    <w:r w:rsidRPr="00444A1C">
      <w:rPr>
        <w:b/>
        <w:sz w:val="24"/>
        <w:szCs w:val="24"/>
      </w:rPr>
      <w:t>Personnel Activity and Transactions for Oct. 15, 2014 Shutdown:</w:t>
    </w:r>
  </w:p>
  <w:p w:rsidR="002074BD" w:rsidRDefault="0020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E9"/>
    <w:rsid w:val="000C5CF7"/>
    <w:rsid w:val="000C6967"/>
    <w:rsid w:val="0012194E"/>
    <w:rsid w:val="00123274"/>
    <w:rsid w:val="0019485D"/>
    <w:rsid w:val="001A29B6"/>
    <w:rsid w:val="001F4374"/>
    <w:rsid w:val="002074BD"/>
    <w:rsid w:val="002326EB"/>
    <w:rsid w:val="00272FAB"/>
    <w:rsid w:val="00341FD1"/>
    <w:rsid w:val="00442342"/>
    <w:rsid w:val="00444A1C"/>
    <w:rsid w:val="004C7809"/>
    <w:rsid w:val="004D67ED"/>
    <w:rsid w:val="00577FA1"/>
    <w:rsid w:val="00591FE9"/>
    <w:rsid w:val="005E11B2"/>
    <w:rsid w:val="009511E2"/>
    <w:rsid w:val="009D13F7"/>
    <w:rsid w:val="009E0689"/>
    <w:rsid w:val="009E5481"/>
    <w:rsid w:val="009F7A5A"/>
    <w:rsid w:val="00A8139B"/>
    <w:rsid w:val="00B067ED"/>
    <w:rsid w:val="00B96DE3"/>
    <w:rsid w:val="00BA248C"/>
    <w:rsid w:val="00C41C64"/>
    <w:rsid w:val="00C4627A"/>
    <w:rsid w:val="00C73A4F"/>
    <w:rsid w:val="00D03772"/>
    <w:rsid w:val="00D7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591F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Header">
    <w:name w:val="header"/>
    <w:basedOn w:val="Normal"/>
    <w:link w:val="HeaderChar"/>
    <w:uiPriority w:val="99"/>
    <w:unhideWhenUsed/>
    <w:rsid w:val="00207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BD"/>
  </w:style>
  <w:style w:type="paragraph" w:styleId="Footer">
    <w:name w:val="footer"/>
    <w:basedOn w:val="Normal"/>
    <w:link w:val="FooterChar"/>
    <w:uiPriority w:val="99"/>
    <w:unhideWhenUsed/>
    <w:rsid w:val="00207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BD"/>
  </w:style>
  <w:style w:type="paragraph" w:styleId="BalloonText">
    <w:name w:val="Balloon Text"/>
    <w:basedOn w:val="Normal"/>
    <w:link w:val="BalloonTextChar"/>
    <w:uiPriority w:val="99"/>
    <w:semiHidden/>
    <w:unhideWhenUsed/>
    <w:rsid w:val="00207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9"/>
    <w:rsid w:val="00591F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Header">
    <w:name w:val="header"/>
    <w:basedOn w:val="Normal"/>
    <w:link w:val="HeaderChar"/>
    <w:uiPriority w:val="99"/>
    <w:unhideWhenUsed/>
    <w:rsid w:val="00207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BD"/>
  </w:style>
  <w:style w:type="paragraph" w:styleId="Footer">
    <w:name w:val="footer"/>
    <w:basedOn w:val="Normal"/>
    <w:link w:val="FooterChar"/>
    <w:uiPriority w:val="99"/>
    <w:unhideWhenUsed/>
    <w:rsid w:val="00207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BD"/>
  </w:style>
  <w:style w:type="paragraph" w:styleId="BalloonText">
    <w:name w:val="Balloon Text"/>
    <w:basedOn w:val="Normal"/>
    <w:link w:val="BalloonTextChar"/>
    <w:uiPriority w:val="99"/>
    <w:semiHidden/>
    <w:unhideWhenUsed/>
    <w:rsid w:val="00207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ort_x0020_Name xmlns="5599e368-841f-4c02-bce4-e961fe77b44a" xsi:nil="true"/>
    <Order0 xmlns="5599e368-841f-4c02-bce4-e961fe77b44a">75</Order0>
    <Category xmlns="5599e368-841f-4c02-bce4-e961fe77b44a">HR</Category>
  </documentManagement>
</p:properties>
</file>

<file path=customXml/itemProps1.xml><?xml version="1.0" encoding="utf-8"?>
<ds:datastoreItem xmlns:ds="http://schemas.openxmlformats.org/officeDocument/2006/customXml" ds:itemID="{5D0D72B4-BF3B-4203-AB90-130ADA25FE43}"/>
</file>

<file path=customXml/itemProps2.xml><?xml version="1.0" encoding="utf-8"?>
<ds:datastoreItem xmlns:ds="http://schemas.openxmlformats.org/officeDocument/2006/customXml" ds:itemID="{A53843EC-AD98-41C5-8DA9-F252502ED107}"/>
</file>

<file path=customXml/itemProps3.xml><?xml version="1.0" encoding="utf-8"?>
<ds:datastoreItem xmlns:ds="http://schemas.openxmlformats.org/officeDocument/2006/customXml" ds:itemID="{5A71C2BC-27E5-4371-9A40-5329066E98E0}"/>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DBM DoIT</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Transaction_Shutdown_Info</dc:title>
  <dc:creator>Buchman, Leslie</dc:creator>
  <cp:lastModifiedBy>Buchman, Leslie</cp:lastModifiedBy>
  <cp:revision>2</cp:revision>
  <cp:lastPrinted>2014-09-30T17:22:00Z</cp:lastPrinted>
  <dcterms:created xsi:type="dcterms:W3CDTF">2014-11-12T00:23:00Z</dcterms:created>
  <dcterms:modified xsi:type="dcterms:W3CDTF">2014-11-12T00:23:00Z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0x010100F71FCDB88EB99A4B965FBB238F7307A5</vt:lpwstr>
  </property>
</Properties>
</file>